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D60D4D" w:rsidP="00292324">
            <w:pPr>
              <w:spacing w:before="40" w:after="40" w:line="240" w:lineRule="auto"/>
              <w:rPr>
                <w:rFonts w:ascii="Leelawadee UI" w:hAnsi="Leelawadee UI" w:cs="Leelawadee UI"/>
                <w:b/>
                <w:color w:val="404041"/>
                <w:sz w:val="16"/>
                <w:szCs w:val="16"/>
              </w:rPr>
            </w:pPr>
            <w:hyperlink r:id="rId8"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o e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9"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é feita em consonância com o princípio do desenvolvimento sustentável e com o objetivo da União de preservar, proteger e melhorar a qualidade do ambiente, tal como previsto no artigo 11. o e no artigo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10"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1"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2"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proofErr w:type="gramStart"/>
            <w:r w:rsidRPr="005114DA">
              <w:rPr>
                <w:rFonts w:ascii="Leelawadee UI" w:hAnsi="Leelawadee UI" w:cs="Leelawadee UI"/>
                <w:b/>
                <w:color w:val="404041"/>
                <w:sz w:val="16"/>
                <w:szCs w:val="16"/>
                <w:u w:val="single"/>
                <w:lang w:eastAsia="en-GB"/>
              </w:rPr>
              <w:t>Titulo</w:t>
            </w:r>
            <w:proofErr w:type="gramEnd"/>
            <w:r w:rsidRPr="005114DA">
              <w:rPr>
                <w:rFonts w:ascii="Leelawadee UI" w:hAnsi="Leelawadee UI" w:cs="Leelawadee UI"/>
                <w:b/>
                <w:color w:val="404041"/>
                <w:sz w:val="16"/>
                <w:szCs w:val="16"/>
                <w:u w:val="single"/>
                <w:lang w:eastAsia="en-GB"/>
              </w:rPr>
              <w:t xml:space="preserve">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3"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o TUA foi </w:t>
            </w:r>
            <w:proofErr w:type="gramStart"/>
            <w:r w:rsidRPr="005114DA">
              <w:rPr>
                <w:rFonts w:ascii="Leelawadee UI" w:hAnsi="Leelawadee UI" w:cs="Leelawadee UI"/>
                <w:color w:val="404041"/>
                <w:sz w:val="16"/>
                <w:szCs w:val="16"/>
                <w:lang w:eastAsia="en-GB"/>
              </w:rPr>
              <w:t>emitido ?</w:t>
            </w:r>
            <w:proofErr w:type="gramEnd"/>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w:t>
            </w:r>
            <w:proofErr w:type="gramStart"/>
            <w:r w:rsidRPr="005114DA">
              <w:rPr>
                <w:rFonts w:ascii="Leelawadee UI" w:hAnsi="Leelawadee UI" w:cs="Leelawadee UI"/>
                <w:color w:val="404041"/>
                <w:sz w:val="16"/>
                <w:szCs w:val="16"/>
                <w:lang w:eastAsia="en-GB"/>
              </w:rPr>
              <w:t>Pareceres ?</w:t>
            </w:r>
            <w:proofErr w:type="gramEnd"/>
            <w:r w:rsidRPr="005114DA">
              <w:rPr>
                <w:rFonts w:ascii="Leelawadee UI" w:hAnsi="Leelawadee UI" w:cs="Leelawadee UI"/>
                <w:color w:val="404041"/>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4"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5"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6"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No caso </w:t>
            </w:r>
            <w:proofErr w:type="gramStart"/>
            <w:r w:rsidRPr="005114DA">
              <w:rPr>
                <w:rFonts w:ascii="Leelawadee UI" w:hAnsi="Leelawadee UI" w:cs="Leelawadee UI"/>
                <w:color w:val="404041"/>
                <w:sz w:val="16"/>
                <w:szCs w:val="16"/>
                <w:lang w:eastAsia="en-GB"/>
              </w:rPr>
              <w:t>da</w:t>
            </w:r>
            <w:proofErr w:type="gramEnd"/>
            <w:r w:rsidRPr="005114DA">
              <w:rPr>
                <w:rFonts w:ascii="Leelawadee UI" w:hAnsi="Leelawadee UI" w:cs="Leelawadee UI"/>
                <w:color w:val="404041"/>
                <w:sz w:val="16"/>
                <w:szCs w:val="16"/>
                <w:lang w:eastAsia="en-GB"/>
              </w:rPr>
              <w:t xml:space="preserve">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77777777"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 xml:space="preserve">ização dos recursos </w:t>
                  </w:r>
                  <w:proofErr w:type="gramStart"/>
                  <w:r w:rsidR="008C2C57" w:rsidRPr="005114DA">
                    <w:rPr>
                      <w:rFonts w:ascii="Leelawadee UI" w:hAnsi="Leelawadee UI" w:cs="Leelawadee UI"/>
                      <w:color w:val="404041"/>
                      <w:sz w:val="16"/>
                      <w:szCs w:val="16"/>
                    </w:rPr>
                    <w:t>hídricos ,</w:t>
                  </w:r>
                  <w:proofErr w:type="spellStart"/>
                  <w:r w:rsidR="008C2C57" w:rsidRPr="005114DA">
                    <w:rPr>
                      <w:rFonts w:ascii="Leelawadee UI" w:hAnsi="Leelawadee UI" w:cs="Leelawadee UI"/>
                      <w:color w:val="404041"/>
                      <w:sz w:val="16"/>
                      <w:szCs w:val="16"/>
                    </w:rPr>
                    <w:t>ppa</w:t>
                  </w:r>
                  <w:r w:rsidRPr="005114DA">
                    <w:rPr>
                      <w:rFonts w:ascii="Leelawadee UI" w:hAnsi="Leelawadee UI" w:cs="Leelawadee UI"/>
                      <w:color w:val="404041"/>
                      <w:sz w:val="16"/>
                      <w:szCs w:val="16"/>
                    </w:rPr>
                    <w:t>ssar</w:t>
                  </w:r>
                  <w:proofErr w:type="spellEnd"/>
                  <w:proofErr w:type="gramEnd"/>
                  <w:r w:rsidRPr="005114DA">
                    <w:rPr>
                      <w:rFonts w:ascii="Leelawadee UI" w:hAnsi="Leelawadee UI" w:cs="Leelawadee UI"/>
                      <w:color w:val="404041"/>
                      <w:sz w:val="16"/>
                      <w:szCs w:val="16"/>
                    </w:rPr>
                    <w:t xml:space="preserve">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17"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18"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19"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xml:space="preserve">, nos termos da Lei n.º 58/2005, de 29 de </w:t>
                  </w:r>
                  <w:proofErr w:type="gramStart"/>
                  <w:r w:rsidRPr="005114DA">
                    <w:rPr>
                      <w:rFonts w:ascii="Leelawadee UI" w:hAnsi="Leelawadee UI" w:cs="Leelawadee UI"/>
                      <w:color w:val="404041"/>
                      <w:sz w:val="16"/>
                      <w:szCs w:val="16"/>
                      <w:lang w:eastAsia="en-GB"/>
                    </w:rPr>
                    <w:t>Dezembro</w:t>
                  </w:r>
                  <w:proofErr w:type="gramEnd"/>
                  <w:r w:rsidRPr="005114DA">
                    <w:rPr>
                      <w:rFonts w:ascii="Leelawadee UI" w:hAnsi="Leelawadee UI" w:cs="Leelawadee UI"/>
                      <w:color w:val="404041"/>
                      <w:sz w:val="16"/>
                      <w:szCs w:val="16"/>
                      <w:lang w:eastAsia="en-GB"/>
                    </w:rPr>
                    <w:t xml:space="preserve">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 xml:space="preserve">pelo Respetivo TURH, designadamente e quando aplicável os reportes relativos aos Programas de </w:t>
                  </w:r>
                  <w:proofErr w:type="gramStart"/>
                  <w:r w:rsidRPr="005114DA">
                    <w:rPr>
                      <w:rFonts w:ascii="Leelawadee UI" w:hAnsi="Leelawadee UI" w:cs="Leelawadee UI"/>
                      <w:color w:val="404041"/>
                      <w:sz w:val="16"/>
                      <w:szCs w:val="16"/>
                      <w:lang w:eastAsia="en-GB"/>
                    </w:rPr>
                    <w:t>autocontrolo  e</w:t>
                  </w:r>
                  <w:proofErr w:type="gramEnd"/>
                  <w:r w:rsidRPr="005114DA">
                    <w:rPr>
                      <w:rFonts w:ascii="Leelawadee UI" w:hAnsi="Leelawadee UI" w:cs="Leelawadee UI"/>
                      <w:color w:val="404041"/>
                      <w:sz w:val="16"/>
                      <w:szCs w:val="16"/>
                      <w:lang w:eastAsia="en-GB"/>
                    </w:rPr>
                    <w:t xml:space="preserv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0" w:history="1">
                    <w:r w:rsidRPr="005114DA">
                      <w:rPr>
                        <w:rStyle w:val="Hiperligao"/>
                        <w:rFonts w:ascii="Leelawadee UI" w:hAnsi="Leelawadee UI" w:cs="Leelawadee UI"/>
                        <w:color w:val="404041"/>
                        <w:sz w:val="16"/>
                        <w:szCs w:val="16"/>
                      </w:rPr>
                      <w:t xml:space="preserve">Decreto-Lei 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1"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2"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3"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4"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5"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27"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28"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apresentada a respetiva </w:t>
                  </w:r>
                  <w:proofErr w:type="gramStart"/>
                  <w:r w:rsidRPr="005114DA">
                    <w:rPr>
                      <w:rFonts w:ascii="Leelawadee UI" w:hAnsi="Leelawadee UI" w:cs="Leelawadee UI"/>
                      <w:color w:val="404041"/>
                      <w:sz w:val="16"/>
                      <w:szCs w:val="16"/>
                      <w:lang w:eastAsia="en-GB"/>
                    </w:rPr>
                    <w:t>notificação ?</w:t>
                  </w:r>
                  <w:proofErr w:type="gramEnd"/>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29"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0"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apresentado a respetiva </w:t>
                  </w:r>
                  <w:proofErr w:type="gramStart"/>
                  <w:r w:rsidRPr="005114DA">
                    <w:rPr>
                      <w:rFonts w:ascii="Leelawadee UI" w:hAnsi="Leelawadee UI" w:cs="Leelawadee UI"/>
                      <w:color w:val="404041"/>
                      <w:sz w:val="16"/>
                      <w:szCs w:val="16"/>
                      <w:lang w:eastAsia="en-GB"/>
                    </w:rPr>
                    <w:t>licença ?</w:t>
                  </w:r>
                  <w:proofErr w:type="gramEnd"/>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1"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27/2013, de 30 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lastRenderedPageBreak/>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11. .</w:t>
            </w:r>
            <w:proofErr w:type="gramEnd"/>
            <w:r w:rsidRPr="005114DA">
              <w:rPr>
                <w:rFonts w:ascii="Leelawadee UI" w:hAnsi="Leelawadee UI" w:cs="Leelawadee UI"/>
                <w:b/>
                <w:color w:val="404041"/>
                <w:sz w:val="16"/>
                <w:szCs w:val="16"/>
                <w:u w:val="single"/>
              </w:rPr>
              <w:t xml:space="preserve">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2"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3"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4"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7777777"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previstos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13  Avaliação</w:t>
            </w:r>
            <w:proofErr w:type="gramEnd"/>
            <w:r w:rsidRPr="005114DA">
              <w:rPr>
                <w:rFonts w:ascii="Leelawadee UI" w:hAnsi="Leelawadee UI" w:cs="Leelawadee UI"/>
                <w:b/>
                <w:color w:val="404041"/>
                <w:sz w:val="16"/>
                <w:szCs w:val="16"/>
                <w:u w:val="single"/>
              </w:rPr>
              <w:t xml:space="preserve">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77777777"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5" w:history="1">
              <w:r w:rsidRPr="005114DA">
                <w:rPr>
                  <w:rStyle w:val="Hiperligao"/>
                  <w:rFonts w:ascii="Leelawadee UI" w:hAnsi="Leelawadee UI" w:cs="Leelawadee UI"/>
                  <w:color w:val="404041"/>
                  <w:sz w:val="16"/>
                  <w:szCs w:val="16"/>
                </w:rPr>
                <w:t>Decreto-Lei nº 225/2007, de 31 de maio</w:t>
              </w:r>
            </w:hyperlink>
            <w:r w:rsidRPr="005114DA">
              <w:rPr>
                <w:rFonts w:ascii="Leelawadee UI" w:hAnsi="Leelawadee UI" w:cs="Leelawadee UI"/>
                <w:color w:val="404041"/>
                <w:sz w:val="16"/>
                <w:szCs w:val="16"/>
              </w:rPr>
              <w:t xml:space="preserve">, alterado pelo </w:t>
            </w:r>
            <w:hyperlink r:id="rId36"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favorável ou </w:t>
            </w:r>
            <w:r w:rsidRPr="005114DA">
              <w:rPr>
                <w:rFonts w:ascii="Leelawadee UI" w:hAnsi="Leelawadee UI" w:cs="Leelawadee UI"/>
                <w:color w:val="404041"/>
                <w:sz w:val="16"/>
                <w:szCs w:val="16"/>
              </w:rPr>
              <w:lastRenderedPageBreak/>
              <w:t>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proofErr w:type="gram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77777777"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de planos ou </w:t>
            </w:r>
            <w:proofErr w:type="spellStart"/>
            <w:r w:rsidRPr="005114DA">
              <w:rPr>
                <w:rFonts w:ascii="Leelawadee UI" w:hAnsi="Leelawadee UI" w:cs="Leelawadee UI"/>
                <w:b/>
                <w:color w:val="404041"/>
                <w:sz w:val="16"/>
                <w:szCs w:val="16"/>
                <w:u w:val="single"/>
              </w:rPr>
              <w:t>projectos</w:t>
            </w:r>
            <w:proofErr w:type="spellEnd"/>
            <w:r w:rsidRPr="005114DA">
              <w:rPr>
                <w:rFonts w:ascii="Leelawadee UI" w:hAnsi="Leelawadee UI" w:cs="Leelawadee UI"/>
                <w:b/>
                <w:color w:val="404041"/>
                <w:sz w:val="16"/>
                <w:szCs w:val="16"/>
                <w:u w:val="single"/>
              </w:rPr>
              <w:t xml:space="preserve"> não </w:t>
            </w:r>
            <w:proofErr w:type="spellStart"/>
            <w:r w:rsidRPr="005114DA">
              <w:rPr>
                <w:rFonts w:ascii="Leelawadee UI" w:hAnsi="Leelawadee UI" w:cs="Leelawadee UI"/>
                <w:b/>
                <w:color w:val="404041"/>
                <w:sz w:val="16"/>
                <w:szCs w:val="16"/>
                <w:u w:val="single"/>
              </w:rPr>
              <w:t>directamente</w:t>
            </w:r>
            <w:proofErr w:type="spellEnd"/>
            <w:r w:rsidRPr="005114DA">
              <w:rPr>
                <w:rFonts w:ascii="Leelawadee UI" w:hAnsi="Leelawadee UI" w:cs="Leelawadee UI"/>
                <w:b/>
                <w:color w:val="404041"/>
                <w:sz w:val="16"/>
                <w:szCs w:val="16"/>
                <w:u w:val="single"/>
              </w:rPr>
              <w:t xml:space="preserve"> relacionados com a gestão de um sítio de interesse comunitário, de uma ZEC ou de uma ZPE da Rede Natura 2000 e não necessários para essa gestão, mas </w:t>
            </w:r>
            <w:proofErr w:type="spellStart"/>
            <w:r w:rsidRPr="005114DA">
              <w:rPr>
                <w:rFonts w:ascii="Leelawadee UI" w:hAnsi="Leelawadee UI" w:cs="Leelawadee UI"/>
                <w:b/>
                <w:color w:val="404041"/>
                <w:sz w:val="16"/>
                <w:szCs w:val="16"/>
                <w:u w:val="single"/>
              </w:rPr>
              <w:t>susceptíveis</w:t>
            </w:r>
            <w:proofErr w:type="spellEnd"/>
            <w:r w:rsidRPr="005114DA">
              <w:rPr>
                <w:rFonts w:ascii="Leelawadee UI" w:hAnsi="Leelawadee UI" w:cs="Leelawadee UI"/>
                <w:b/>
                <w:color w:val="404041"/>
                <w:sz w:val="16"/>
                <w:szCs w:val="16"/>
                <w:u w:val="single"/>
              </w:rPr>
              <w:t xml:space="preserve"> de </w:t>
            </w:r>
            <w:proofErr w:type="spellStart"/>
            <w:r w:rsidRPr="005114DA">
              <w:rPr>
                <w:rFonts w:ascii="Leelawadee UI" w:hAnsi="Leelawadee UI" w:cs="Leelawadee UI"/>
                <w:b/>
                <w:color w:val="404041"/>
                <w:sz w:val="16"/>
                <w:szCs w:val="16"/>
                <w:u w:val="single"/>
              </w:rPr>
              <w:t>afectar</w:t>
            </w:r>
            <w:proofErr w:type="spellEnd"/>
            <w:r w:rsidRPr="005114DA">
              <w:rPr>
                <w:rFonts w:ascii="Leelawadee UI" w:hAnsi="Leelawadee UI" w:cs="Leelawadee UI"/>
                <w:b/>
                <w:color w:val="404041"/>
                <w:sz w:val="16"/>
                <w:szCs w:val="16"/>
                <w:u w:val="single"/>
              </w:rPr>
              <w:t xml:space="preserve"> essa zona de forma significativa, individualmente ou em conjugação com outras </w:t>
            </w:r>
            <w:proofErr w:type="spellStart"/>
            <w:r w:rsidRPr="005114DA">
              <w:rPr>
                <w:rFonts w:ascii="Leelawadee UI" w:hAnsi="Leelawadee UI" w:cs="Leelawadee UI"/>
                <w:b/>
                <w:color w:val="404041"/>
                <w:sz w:val="16"/>
                <w:szCs w:val="16"/>
                <w:u w:val="single"/>
              </w:rPr>
              <w:t>acções</w:t>
            </w:r>
            <w:proofErr w:type="spellEnd"/>
            <w:r w:rsidRPr="005114DA">
              <w:rPr>
                <w:rFonts w:ascii="Leelawadee UI" w:hAnsi="Leelawadee UI" w:cs="Leelawadee UI"/>
                <w:b/>
                <w:color w:val="404041"/>
                <w:sz w:val="16"/>
                <w:szCs w:val="16"/>
                <w:u w:val="single"/>
              </w:rPr>
              <w:t xml:space="preserve">, planos ou </w:t>
            </w:r>
            <w:proofErr w:type="spellStart"/>
            <w:r w:rsidRPr="005114DA">
              <w:rPr>
                <w:rFonts w:ascii="Leelawadee UI" w:hAnsi="Leelawadee UI" w:cs="Leelawadee UI"/>
                <w:b/>
                <w:color w:val="404041"/>
                <w:sz w:val="16"/>
                <w:szCs w:val="16"/>
                <w:u w:val="single"/>
              </w:rPr>
              <w:t>projectos</w:t>
            </w:r>
            <w:proofErr w:type="spellEnd"/>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37"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8"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w:t>
            </w:r>
            <w:proofErr w:type="gramStart"/>
            <w:r w:rsidRPr="005114DA">
              <w:rPr>
                <w:rFonts w:ascii="Leelawadee UI" w:hAnsi="Leelawadee UI" w:cs="Leelawadee UI"/>
                <w:color w:val="404041"/>
                <w:sz w:val="16"/>
                <w:szCs w:val="16"/>
              </w:rPr>
              <w:t>DCAPE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B6CD2" w14:textId="77777777" w:rsidR="003000B4" w:rsidRDefault="003000B4" w:rsidP="004F0B62">
      <w:pPr>
        <w:spacing w:after="0" w:line="240" w:lineRule="auto"/>
      </w:pPr>
      <w:r>
        <w:separator/>
      </w:r>
    </w:p>
  </w:endnote>
  <w:endnote w:type="continuationSeparator" w:id="0">
    <w:p w14:paraId="46EB6CD3" w14:textId="77777777"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B6CD0" w14:textId="77777777" w:rsidR="003000B4" w:rsidRDefault="003000B4" w:rsidP="004F0B62">
      <w:pPr>
        <w:spacing w:after="0" w:line="240" w:lineRule="auto"/>
      </w:pPr>
      <w:r>
        <w:separator/>
      </w:r>
    </w:p>
  </w:footnote>
  <w:footnote w:type="continuationSeparator" w:id="0">
    <w:p w14:paraId="46EB6CD1" w14:textId="77777777" w:rsidR="003000B4" w:rsidRDefault="003000B4"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282AF3A3" w:rsidR="004F0B62" w:rsidRPr="005114DA" w:rsidRDefault="005114DA" w:rsidP="005114DA">
    <w:pPr>
      <w:pStyle w:val="Cabealho"/>
    </w:pPr>
    <w:r>
      <w:rPr>
        <w:rFonts w:ascii="Trebuchet MS" w:hAnsi="Trebuchet MS" w:cs="Trebuchet MS"/>
        <w:b/>
        <w:bCs/>
        <w:noProof/>
        <w:sz w:val="12"/>
        <w:szCs w:val="12"/>
      </w:rPr>
      <w:drawing>
        <wp:inline distT="0" distB="0" distL="0" distR="0" wp14:anchorId="12D16E96" wp14:editId="078C3714">
          <wp:extent cx="5149850" cy="615950"/>
          <wp:effectExtent l="0" t="0" r="0" b="0"/>
          <wp:docPr id="1" name="Imagem 1" descr="C:\Users\Marcia Mendes\AppData\Local\Microsoft\Windows\INetCache\Content.Word\barra logos lx2020 com A2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a Mendes\AppData\Local\Microsoft\Windows\INetCache\Content.Word\barra logos lx2020 com A2S.PNG"/>
                  <pic:cNvPicPr>
                    <a:picLocks noChangeAspect="1" noChangeArrowheads="1"/>
                  </pic:cNvPicPr>
                </pic:nvPicPr>
                <pic:blipFill rotWithShape="1">
                  <a:blip r:embed="rId1">
                    <a:extLst>
                      <a:ext uri="{28A0092B-C50C-407E-A947-70E740481C1C}">
                        <a14:useLocalDpi xmlns:a14="http://schemas.microsoft.com/office/drawing/2010/main" val="0"/>
                      </a:ext>
                    </a:extLst>
                  </a:blip>
                  <a:srcRect l="4363"/>
                  <a:stretch/>
                </pic:blipFill>
                <pic:spPr bwMode="auto">
                  <a:xfrm>
                    <a:off x="0" y="0"/>
                    <a:ext cx="5149850" cy="61595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A81F-8C0D-4887-946D-FD1BF2A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José  Diogo</cp:lastModifiedBy>
  <cp:revision>2</cp:revision>
  <cp:lastPrinted>2016-01-27T15:11:00Z</cp:lastPrinted>
  <dcterms:created xsi:type="dcterms:W3CDTF">2021-01-13T14:47:00Z</dcterms:created>
  <dcterms:modified xsi:type="dcterms:W3CDTF">2021-01-13T14:47:00Z</dcterms:modified>
</cp:coreProperties>
</file>